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A4E75" w14:textId="47583C9F" w:rsidR="00221394" w:rsidRDefault="00221394" w:rsidP="00221394">
      <w:pPr>
        <w:jc w:val="right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drawing>
          <wp:inline distT="0" distB="0" distL="0" distR="0" wp14:anchorId="26FE0100" wp14:editId="1DE0CEB9">
            <wp:extent cx="2420620" cy="6216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068066" w14:textId="0B421952" w:rsidR="00715D28" w:rsidRPr="000B0EE4" w:rsidRDefault="00A2429D">
      <w:pPr>
        <w:rPr>
          <w:b/>
          <w:bCs/>
          <w:sz w:val="24"/>
          <w:szCs w:val="24"/>
          <w:u w:val="single"/>
        </w:rPr>
      </w:pPr>
      <w:r w:rsidRPr="000B0EE4">
        <w:rPr>
          <w:b/>
          <w:bCs/>
          <w:sz w:val="24"/>
          <w:szCs w:val="24"/>
          <w:u w:val="single"/>
        </w:rPr>
        <w:t xml:space="preserve">Managing Vitamin B12 Injections during COVID-19 Pandemic </w:t>
      </w:r>
    </w:p>
    <w:p w14:paraId="4F3D9A59" w14:textId="33EE5254" w:rsidR="00F574B5" w:rsidRPr="00F574B5" w:rsidRDefault="00F574B5">
      <w:pPr>
        <w:rPr>
          <w:b/>
          <w:bCs/>
        </w:rPr>
      </w:pPr>
      <w:r w:rsidRPr="00F574B5">
        <w:rPr>
          <w:b/>
          <w:bCs/>
          <w:u w:val="single"/>
        </w:rPr>
        <w:t>Context:</w:t>
      </w:r>
    </w:p>
    <w:p w14:paraId="5CB35C4E" w14:textId="74B7EE4B" w:rsidR="00F574B5" w:rsidRDefault="008842E5">
      <w:pPr>
        <w:rPr>
          <w:b/>
          <w:bCs/>
          <w:i/>
          <w:iCs/>
        </w:rPr>
      </w:pPr>
      <w:r>
        <w:rPr>
          <w:b/>
          <w:bCs/>
          <w:i/>
          <w:iCs/>
        </w:rPr>
        <w:t>New guid</w:t>
      </w:r>
      <w:r w:rsidR="00224CCA">
        <w:rPr>
          <w:b/>
          <w:bCs/>
          <w:i/>
          <w:iCs/>
        </w:rPr>
        <w:t>ance</w:t>
      </w:r>
      <w:r>
        <w:rPr>
          <w:b/>
          <w:bCs/>
          <w:i/>
          <w:iCs/>
        </w:rPr>
        <w:t xml:space="preserve"> for investigation and Treatment of adult B12 deficiency in primary care was recently agreed for Dorset in Jan 2020. GPs should be aware of this guidance when interpreting the following: </w:t>
      </w:r>
      <w:hyperlink r:id="rId8" w:history="1">
        <w:r w:rsidRPr="008842E5">
          <w:rPr>
            <w:rStyle w:val="Hyperlink"/>
            <w:b/>
            <w:bCs/>
            <w:i/>
            <w:iCs/>
          </w:rPr>
          <w:t>access here</w:t>
        </w:r>
      </w:hyperlink>
      <w:r>
        <w:rPr>
          <w:b/>
          <w:bCs/>
          <w:i/>
          <w:iCs/>
        </w:rPr>
        <w:t xml:space="preserve"> (or search Dorset Formulary for hydroxocobalamin)</w:t>
      </w:r>
      <w:r w:rsidR="008F7B39">
        <w:rPr>
          <w:b/>
          <w:bCs/>
          <w:i/>
          <w:iCs/>
        </w:rPr>
        <w:t xml:space="preserve">. </w:t>
      </w:r>
    </w:p>
    <w:p w14:paraId="56788286" w14:textId="76EFCD21" w:rsidR="00A2429D" w:rsidRDefault="00F574B5">
      <w:pPr>
        <w:rPr>
          <w:b/>
          <w:bCs/>
          <w:i/>
          <w:iCs/>
        </w:rPr>
      </w:pPr>
      <w:r>
        <w:rPr>
          <w:b/>
          <w:bCs/>
          <w:i/>
          <w:iCs/>
        </w:rPr>
        <w:t>Additionally,</w:t>
      </w:r>
      <w:r w:rsidR="008F7B39">
        <w:rPr>
          <w:b/>
          <w:bCs/>
          <w:i/>
          <w:iCs/>
        </w:rPr>
        <w:t xml:space="preserve"> the RCGP has suggested that during the pandemic administration of B12 is an ‘AMBER’ priority (continue if capacity allows) and that patients could be educated to self-administer.</w:t>
      </w:r>
    </w:p>
    <w:p w14:paraId="27E29FA8" w14:textId="26B8F21A" w:rsidR="00F574B5" w:rsidRDefault="00F574B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Links to COVID-19 interim resources available on front page of the Dorset Formulary: </w:t>
      </w:r>
      <w:hyperlink r:id="rId9" w:history="1">
        <w:r w:rsidRPr="00F574B5">
          <w:rPr>
            <w:rStyle w:val="Hyperlink"/>
            <w:b/>
            <w:bCs/>
            <w:i/>
            <w:iCs/>
          </w:rPr>
          <w:t>www.dorsetformulary.nhs.uk</w:t>
        </w:r>
      </w:hyperlink>
    </w:p>
    <w:p w14:paraId="35D7D2E9" w14:textId="3FD90CA1" w:rsidR="008519C1" w:rsidRPr="008519C1" w:rsidRDefault="008F7B39" w:rsidP="00D73199">
      <w:pPr>
        <w:rPr>
          <w:b/>
          <w:bCs/>
        </w:rPr>
      </w:pPr>
      <w:r>
        <w:rPr>
          <w:b/>
          <w:bCs/>
          <w:i/>
          <w:iCs/>
        </w:rPr>
        <w:t xml:space="preserve">This is the </w:t>
      </w:r>
      <w:r w:rsidR="007B07C8">
        <w:rPr>
          <w:b/>
          <w:bCs/>
          <w:i/>
          <w:iCs/>
        </w:rPr>
        <w:t xml:space="preserve">interim </w:t>
      </w:r>
      <w:r>
        <w:rPr>
          <w:b/>
          <w:bCs/>
          <w:i/>
          <w:iCs/>
        </w:rPr>
        <w:t>LOCAL DORSET</w:t>
      </w:r>
      <w:r w:rsidR="00221394">
        <w:rPr>
          <w:b/>
          <w:bCs/>
          <w:i/>
          <w:iCs/>
        </w:rPr>
        <w:t xml:space="preserve"> CCG</w:t>
      </w:r>
      <w:r>
        <w:rPr>
          <w:b/>
          <w:bCs/>
          <w:i/>
          <w:iCs/>
        </w:rPr>
        <w:t xml:space="preserve"> Response:</w:t>
      </w:r>
    </w:p>
    <w:p w14:paraId="33C2FA7B" w14:textId="58D94033" w:rsidR="008519C1" w:rsidRDefault="008519C1" w:rsidP="008519C1">
      <w:pPr>
        <w:pStyle w:val="ListParagraph"/>
        <w:jc w:val="center"/>
        <w:rPr>
          <w:b/>
          <w:bCs/>
        </w:rPr>
      </w:pPr>
      <w:r w:rsidRPr="008519C1">
        <w:rPr>
          <w:b/>
          <w:bCs/>
        </w:rPr>
        <w:t>** Inform the patient of the decisions made</w:t>
      </w:r>
      <w:r w:rsidR="00F574B5">
        <w:rPr>
          <w:b/>
          <w:bCs/>
        </w:rPr>
        <w:t xml:space="preserve"> and why</w:t>
      </w:r>
      <w:r w:rsidRPr="008519C1">
        <w:rPr>
          <w:b/>
          <w:bCs/>
        </w:rPr>
        <w:t>. These are temporary arrangements during COVID-19 pandemic</w:t>
      </w:r>
      <w:r w:rsidR="00F574B5">
        <w:rPr>
          <w:b/>
          <w:bCs/>
        </w:rPr>
        <w:t xml:space="preserve"> only - see below for link to the Pernicious Anaemia Patient Group</w:t>
      </w:r>
      <w:r w:rsidRPr="008519C1">
        <w:rPr>
          <w:b/>
          <w:bCs/>
        </w:rPr>
        <w:t xml:space="preserve"> **</w:t>
      </w:r>
    </w:p>
    <w:p w14:paraId="2180BCA5" w14:textId="048FF1B2" w:rsidR="00F574B5" w:rsidRPr="00F574B5" w:rsidRDefault="00F574B5" w:rsidP="00F574B5">
      <w:pPr>
        <w:rPr>
          <w:b/>
          <w:bCs/>
          <w:u w:val="single"/>
        </w:rPr>
      </w:pPr>
      <w:r w:rsidRPr="00F574B5">
        <w:rPr>
          <w:b/>
          <w:bCs/>
          <w:u w:val="single"/>
        </w:rPr>
        <w:t>Guidance and Rationale:</w:t>
      </w:r>
    </w:p>
    <w:p w14:paraId="5A0FFF3F" w14:textId="6D2AFC6D" w:rsidR="00A2429D" w:rsidRDefault="00A2429D">
      <w:pPr>
        <w:rPr>
          <w:i/>
          <w:iCs/>
        </w:rPr>
      </w:pPr>
      <w:r w:rsidRPr="00A2429D">
        <w:rPr>
          <w:i/>
          <w:iCs/>
        </w:rPr>
        <w:t xml:space="preserve">Dorset is </w:t>
      </w:r>
      <w:r>
        <w:rPr>
          <w:i/>
          <w:iCs/>
        </w:rPr>
        <w:t>amongst</w:t>
      </w:r>
      <w:r w:rsidRPr="00A2429D">
        <w:rPr>
          <w:i/>
          <w:iCs/>
        </w:rPr>
        <w:t xml:space="preserve"> the top users of Hydroxocobalamin 1mg/</w:t>
      </w:r>
      <w:r w:rsidR="008F7B39">
        <w:rPr>
          <w:i/>
          <w:iCs/>
        </w:rPr>
        <w:t>1</w:t>
      </w:r>
      <w:r w:rsidRPr="00A2429D">
        <w:rPr>
          <w:i/>
          <w:iCs/>
        </w:rPr>
        <w:t>ml</w:t>
      </w:r>
      <w:r w:rsidR="008F7B39">
        <w:rPr>
          <w:i/>
          <w:iCs/>
        </w:rPr>
        <w:t xml:space="preserve"> Amp for</w:t>
      </w:r>
      <w:r w:rsidRPr="00A2429D">
        <w:rPr>
          <w:i/>
          <w:iCs/>
        </w:rPr>
        <w:t xml:space="preserve"> injection</w:t>
      </w:r>
      <w:r>
        <w:rPr>
          <w:i/>
          <w:iCs/>
        </w:rPr>
        <w:t xml:space="preserve"> in the UK according recent data</w:t>
      </w:r>
      <w:r w:rsidRPr="00A2429D">
        <w:rPr>
          <w:i/>
          <w:iCs/>
        </w:rPr>
        <w:t xml:space="preserve"> with a typical monthly </w:t>
      </w:r>
      <w:r>
        <w:rPr>
          <w:i/>
          <w:iCs/>
        </w:rPr>
        <w:t>issue of approximately 4 to 4.5 thousand items per month</w:t>
      </w:r>
      <w:r w:rsidR="008F7B39">
        <w:rPr>
          <w:i/>
          <w:iCs/>
        </w:rPr>
        <w:t>, therefore a large patient volume</w:t>
      </w:r>
      <w:r>
        <w:rPr>
          <w:i/>
          <w:iCs/>
        </w:rPr>
        <w:t xml:space="preserve">. We have taken </w:t>
      </w:r>
      <w:r w:rsidR="005B76C9">
        <w:rPr>
          <w:i/>
          <w:iCs/>
        </w:rPr>
        <w:t xml:space="preserve">local </w:t>
      </w:r>
      <w:r>
        <w:rPr>
          <w:i/>
          <w:iCs/>
        </w:rPr>
        <w:t>advice</w:t>
      </w:r>
      <w:r w:rsidR="00221394">
        <w:rPr>
          <w:i/>
          <w:iCs/>
        </w:rPr>
        <w:t xml:space="preserve"> and suggest at the present </w:t>
      </w:r>
      <w:r>
        <w:rPr>
          <w:i/>
          <w:iCs/>
        </w:rPr>
        <w:t>time</w:t>
      </w:r>
      <w:r w:rsidR="00AD416F">
        <w:rPr>
          <w:i/>
          <w:iCs/>
        </w:rPr>
        <w:t xml:space="preserve"> that</w:t>
      </w:r>
      <w:r>
        <w:rPr>
          <w:i/>
          <w:iCs/>
        </w:rPr>
        <w:t xml:space="preserve"> administration of vitamin B12 represents a</w:t>
      </w:r>
      <w:r w:rsidR="00AD416F">
        <w:rPr>
          <w:i/>
          <w:iCs/>
        </w:rPr>
        <w:t xml:space="preserve"> potentially</w:t>
      </w:r>
      <w:r>
        <w:rPr>
          <w:i/>
          <w:iCs/>
        </w:rPr>
        <w:t xml:space="preserve"> unnecessary caseload of patients who do not need to be visiting practices or receiving district nurse visits for administration of the injection. </w:t>
      </w:r>
    </w:p>
    <w:p w14:paraId="32C0076D" w14:textId="7D0AF841" w:rsidR="00A2429D" w:rsidRDefault="00A2429D">
      <w:pPr>
        <w:rPr>
          <w:i/>
          <w:iCs/>
        </w:rPr>
      </w:pPr>
      <w:r>
        <w:rPr>
          <w:i/>
          <w:iCs/>
        </w:rPr>
        <w:t xml:space="preserve">The </w:t>
      </w:r>
      <w:r w:rsidR="0059665D">
        <w:rPr>
          <w:i/>
          <w:iCs/>
        </w:rPr>
        <w:t>M</w:t>
      </w:r>
      <w:r>
        <w:rPr>
          <w:i/>
          <w:iCs/>
        </w:rPr>
        <w:t>edicines Optimisation team is suggesting the following approach to managing Vit B12 patients. These steps must be followed in a stepwise manner</w:t>
      </w:r>
      <w:r w:rsidR="0059665D">
        <w:rPr>
          <w:i/>
          <w:iCs/>
        </w:rPr>
        <w:t>, on a patient-by-patient basis,</w:t>
      </w:r>
      <w:r>
        <w:rPr>
          <w:i/>
          <w:iCs/>
        </w:rPr>
        <w:t xml:space="preserve"> to prevent withholding injections from patients who </w:t>
      </w:r>
      <w:r w:rsidR="00AD416F">
        <w:rPr>
          <w:i/>
          <w:iCs/>
        </w:rPr>
        <w:t>are symptomatic and</w:t>
      </w:r>
      <w:r w:rsidR="008F7B39">
        <w:rPr>
          <w:i/>
          <w:iCs/>
        </w:rPr>
        <w:t xml:space="preserve"> require </w:t>
      </w:r>
      <w:r>
        <w:rPr>
          <w:i/>
          <w:iCs/>
        </w:rPr>
        <w:t>treatment.</w:t>
      </w:r>
      <w:r w:rsidR="0059665D">
        <w:rPr>
          <w:i/>
          <w:iCs/>
        </w:rPr>
        <w:t xml:space="preserve"> </w:t>
      </w:r>
    </w:p>
    <w:p w14:paraId="0BE9BDE3" w14:textId="77777777" w:rsidR="00A2429D" w:rsidRDefault="00A2429D" w:rsidP="00A2429D">
      <w:pPr>
        <w:pStyle w:val="ListParagraph"/>
        <w:numPr>
          <w:ilvl w:val="0"/>
          <w:numId w:val="1"/>
        </w:numPr>
        <w:rPr>
          <w:i/>
          <w:iCs/>
        </w:rPr>
      </w:pPr>
      <w:r w:rsidRPr="008842E5">
        <w:rPr>
          <w:b/>
          <w:bCs/>
          <w:i/>
          <w:iCs/>
          <w:u w:val="single"/>
        </w:rPr>
        <w:t>Postpone current appointments</w:t>
      </w:r>
      <w:r>
        <w:rPr>
          <w:i/>
          <w:iCs/>
        </w:rPr>
        <w:t xml:space="preserve"> to prevent footfall through the practices. This is a responsible measure to reduce </w:t>
      </w:r>
      <w:r w:rsidR="0059665D">
        <w:rPr>
          <w:i/>
          <w:iCs/>
        </w:rPr>
        <w:t xml:space="preserve">non-vital </w:t>
      </w:r>
      <w:r>
        <w:rPr>
          <w:i/>
          <w:iCs/>
        </w:rPr>
        <w:t>patient</w:t>
      </w:r>
      <w:r w:rsidR="0059665D">
        <w:rPr>
          <w:i/>
          <w:iCs/>
        </w:rPr>
        <w:t>/ staff</w:t>
      </w:r>
      <w:r w:rsidR="007B48BB">
        <w:rPr>
          <w:i/>
          <w:iCs/>
        </w:rPr>
        <w:t xml:space="preserve"> </w:t>
      </w:r>
      <w:r w:rsidR="008F7B39">
        <w:rPr>
          <w:i/>
          <w:iCs/>
        </w:rPr>
        <w:t>contact</w:t>
      </w:r>
      <w:r w:rsidR="007B48BB">
        <w:rPr>
          <w:i/>
          <w:iCs/>
        </w:rPr>
        <w:t xml:space="preserve">. Some patients may be anxious about missing </w:t>
      </w:r>
      <w:r w:rsidR="0059665D">
        <w:rPr>
          <w:i/>
          <w:iCs/>
        </w:rPr>
        <w:t>doses,</w:t>
      </w:r>
      <w:r w:rsidR="007B48BB">
        <w:rPr>
          <w:i/>
          <w:iCs/>
        </w:rPr>
        <w:t xml:space="preserve"> but this is less important than risk of </w:t>
      </w:r>
      <w:r w:rsidR="008842E5">
        <w:rPr>
          <w:i/>
          <w:iCs/>
        </w:rPr>
        <w:t>transmission at this time.</w:t>
      </w:r>
    </w:p>
    <w:p w14:paraId="2126666A" w14:textId="3845466F" w:rsidR="00A2429D" w:rsidRDefault="00A2429D" w:rsidP="00A2429D">
      <w:pPr>
        <w:pStyle w:val="ListParagraph"/>
        <w:numPr>
          <w:ilvl w:val="0"/>
          <w:numId w:val="1"/>
        </w:numPr>
        <w:rPr>
          <w:i/>
          <w:iCs/>
        </w:rPr>
      </w:pPr>
      <w:r w:rsidRPr="008842E5">
        <w:rPr>
          <w:b/>
          <w:bCs/>
          <w:i/>
          <w:iCs/>
          <w:u w:val="single"/>
        </w:rPr>
        <w:t>Review the diagnosis</w:t>
      </w:r>
      <w:r>
        <w:rPr>
          <w:i/>
          <w:iCs/>
        </w:rPr>
        <w:t xml:space="preserve"> – if need for Vit B12 injection is in any</w:t>
      </w:r>
      <w:r w:rsidR="007B48BB">
        <w:rPr>
          <w:i/>
          <w:iCs/>
        </w:rPr>
        <w:t xml:space="preserve"> way</w:t>
      </w:r>
      <w:r>
        <w:rPr>
          <w:i/>
          <w:iCs/>
        </w:rPr>
        <w:t xml:space="preserve"> suspect</w:t>
      </w:r>
      <w:r w:rsidR="008842E5">
        <w:rPr>
          <w:i/>
          <w:iCs/>
        </w:rPr>
        <w:t xml:space="preserve"> (non-specific symptoms</w:t>
      </w:r>
      <w:r w:rsidR="0059665D">
        <w:rPr>
          <w:i/>
          <w:iCs/>
        </w:rPr>
        <w:t>/ absence of objective clinical parameters) then</w:t>
      </w:r>
      <w:r>
        <w:rPr>
          <w:i/>
          <w:iCs/>
        </w:rPr>
        <w:t xml:space="preserve"> deprescribe at the present </w:t>
      </w:r>
      <w:r w:rsidR="008F7B39">
        <w:rPr>
          <w:i/>
          <w:iCs/>
        </w:rPr>
        <w:t>time and</w:t>
      </w:r>
      <w:r>
        <w:rPr>
          <w:i/>
          <w:iCs/>
        </w:rPr>
        <w:t xml:space="preserve"> set a review date of 3 to 6 months to review this </w:t>
      </w:r>
      <w:r w:rsidR="007B48BB">
        <w:rPr>
          <w:i/>
          <w:iCs/>
        </w:rPr>
        <w:t xml:space="preserve">patient </w:t>
      </w:r>
      <w:r>
        <w:rPr>
          <w:i/>
          <w:iCs/>
        </w:rPr>
        <w:t>cohort.</w:t>
      </w:r>
      <w:r w:rsidR="00AD416F">
        <w:rPr>
          <w:i/>
          <w:iCs/>
        </w:rPr>
        <w:t xml:space="preserve"> Patients can be advised to purchase a product which contains </w:t>
      </w:r>
      <w:r w:rsidR="00D73199">
        <w:rPr>
          <w:i/>
          <w:iCs/>
        </w:rPr>
        <w:t>a minimum dosage of 50mcg/ day if they are concerned</w:t>
      </w:r>
    </w:p>
    <w:p w14:paraId="5933A5C8" w14:textId="76FD9EBA" w:rsidR="00A2429D" w:rsidRDefault="00A2429D" w:rsidP="00A2429D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If the diagnosis and </w:t>
      </w:r>
      <w:r w:rsidRPr="0059665D">
        <w:rPr>
          <w:b/>
          <w:bCs/>
          <w:i/>
          <w:iCs/>
          <w:u w:val="single"/>
        </w:rPr>
        <w:t>need for treatment is certain BUT</w:t>
      </w:r>
      <w:r w:rsidRPr="008842E5">
        <w:rPr>
          <w:b/>
          <w:bCs/>
          <w:i/>
          <w:iCs/>
          <w:u w:val="single"/>
        </w:rPr>
        <w:t xml:space="preserve"> the patient has recently ha</w:t>
      </w:r>
      <w:r w:rsidR="007B48BB" w:rsidRPr="008842E5">
        <w:rPr>
          <w:b/>
          <w:bCs/>
          <w:i/>
          <w:iCs/>
          <w:u w:val="single"/>
        </w:rPr>
        <w:t>d</w:t>
      </w:r>
      <w:r w:rsidRPr="008842E5">
        <w:rPr>
          <w:b/>
          <w:bCs/>
          <w:i/>
          <w:iCs/>
          <w:u w:val="single"/>
        </w:rPr>
        <w:t xml:space="preserve"> an </w:t>
      </w:r>
      <w:proofErr w:type="gramStart"/>
      <w:r w:rsidR="0059665D" w:rsidRPr="008842E5">
        <w:rPr>
          <w:b/>
          <w:bCs/>
          <w:i/>
          <w:iCs/>
          <w:u w:val="single"/>
        </w:rPr>
        <w:t>injection</w:t>
      </w:r>
      <w:proofErr w:type="gramEnd"/>
      <w:r>
        <w:rPr>
          <w:i/>
          <w:iCs/>
        </w:rPr>
        <w:t xml:space="preserve"> then review the</w:t>
      </w:r>
      <w:r w:rsidR="007B48BB">
        <w:rPr>
          <w:i/>
          <w:iCs/>
        </w:rPr>
        <w:t xml:space="preserve"> possibility to administer the next dose in </w:t>
      </w:r>
      <w:r>
        <w:rPr>
          <w:i/>
          <w:iCs/>
        </w:rPr>
        <w:t>3 months</w:t>
      </w:r>
      <w:r w:rsidR="007B48BB">
        <w:rPr>
          <w:i/>
          <w:iCs/>
        </w:rPr>
        <w:t>’</w:t>
      </w:r>
      <w:r>
        <w:rPr>
          <w:i/>
          <w:iCs/>
        </w:rPr>
        <w:t xml:space="preserve"> time</w:t>
      </w:r>
      <w:r w:rsidR="008842E5">
        <w:rPr>
          <w:i/>
          <w:iCs/>
        </w:rPr>
        <w:t xml:space="preserve"> depending on the duration and extent of COVID disruption</w:t>
      </w:r>
      <w:r w:rsidR="007B48BB">
        <w:rPr>
          <w:i/>
          <w:iCs/>
        </w:rPr>
        <w:t xml:space="preserve">. </w:t>
      </w:r>
      <w:r w:rsidR="005B76C9">
        <w:rPr>
          <w:i/>
          <w:iCs/>
        </w:rPr>
        <w:t>Nationally, c</w:t>
      </w:r>
      <w:r w:rsidR="007B48BB">
        <w:rPr>
          <w:i/>
          <w:iCs/>
        </w:rPr>
        <w:t xml:space="preserve">onsultant haematologists have suggested that the risk to patients due to disrupted dosage regimens in the short to medium term is small. </w:t>
      </w:r>
    </w:p>
    <w:p w14:paraId="2D6BC91E" w14:textId="3D7399F2" w:rsidR="00A2429D" w:rsidRDefault="00A2429D" w:rsidP="00A2429D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If the diagnosis and </w:t>
      </w:r>
      <w:r w:rsidRPr="0059665D">
        <w:rPr>
          <w:b/>
          <w:bCs/>
          <w:i/>
          <w:iCs/>
          <w:u w:val="single"/>
        </w:rPr>
        <w:t>need for treatment is certain</w:t>
      </w:r>
      <w:r w:rsidR="008842E5" w:rsidRPr="0059665D">
        <w:rPr>
          <w:b/>
          <w:bCs/>
          <w:i/>
          <w:iCs/>
          <w:u w:val="single"/>
        </w:rPr>
        <w:t xml:space="preserve"> and </w:t>
      </w:r>
      <w:r w:rsidR="0059665D" w:rsidRPr="0059665D">
        <w:rPr>
          <w:b/>
          <w:bCs/>
          <w:i/>
          <w:iCs/>
          <w:u w:val="single"/>
        </w:rPr>
        <w:t xml:space="preserve">the patient is </w:t>
      </w:r>
      <w:r w:rsidR="008F7B39">
        <w:rPr>
          <w:b/>
          <w:bCs/>
          <w:i/>
          <w:iCs/>
          <w:u w:val="single"/>
        </w:rPr>
        <w:t>DUE</w:t>
      </w:r>
      <w:r w:rsidR="0059665D" w:rsidRPr="0059665D">
        <w:rPr>
          <w:b/>
          <w:bCs/>
          <w:i/>
          <w:iCs/>
          <w:u w:val="single"/>
        </w:rPr>
        <w:t xml:space="preserve"> a </w:t>
      </w:r>
      <w:r w:rsidR="008842E5" w:rsidRPr="0059665D">
        <w:rPr>
          <w:b/>
          <w:bCs/>
          <w:i/>
          <w:iCs/>
          <w:u w:val="single"/>
        </w:rPr>
        <w:t>dose</w:t>
      </w:r>
      <w:r w:rsidR="008F7B39">
        <w:rPr>
          <w:b/>
          <w:bCs/>
          <w:i/>
          <w:iCs/>
          <w:u w:val="single"/>
        </w:rPr>
        <w:t xml:space="preserve"> imminently</w:t>
      </w:r>
      <w:r w:rsidR="008842E5">
        <w:rPr>
          <w:i/>
          <w:iCs/>
        </w:rPr>
        <w:t xml:space="preserve"> then these patients can be </w:t>
      </w:r>
      <w:r w:rsidR="007B07C8" w:rsidRPr="007B07C8">
        <w:rPr>
          <w:b/>
          <w:bCs/>
          <w:i/>
          <w:iCs/>
          <w:u w:val="single"/>
        </w:rPr>
        <w:t xml:space="preserve">temporarily </w:t>
      </w:r>
      <w:r w:rsidR="008842E5" w:rsidRPr="007B07C8">
        <w:rPr>
          <w:b/>
          <w:bCs/>
          <w:i/>
          <w:iCs/>
          <w:u w:val="single"/>
        </w:rPr>
        <w:t>switched</w:t>
      </w:r>
      <w:r w:rsidR="008842E5">
        <w:rPr>
          <w:i/>
          <w:iCs/>
        </w:rPr>
        <w:t xml:space="preserve"> to</w:t>
      </w:r>
      <w:r w:rsidR="008F7B39">
        <w:rPr>
          <w:i/>
          <w:iCs/>
        </w:rPr>
        <w:t xml:space="preserve"> the unlicensed</w:t>
      </w:r>
      <w:r w:rsidR="008842E5">
        <w:rPr>
          <w:i/>
          <w:iCs/>
        </w:rPr>
        <w:t xml:space="preserve"> </w:t>
      </w:r>
      <w:r w:rsidR="0059665D" w:rsidRPr="008F7B39">
        <w:rPr>
          <w:b/>
          <w:bCs/>
          <w:i/>
          <w:iCs/>
          <w:u w:val="single"/>
        </w:rPr>
        <w:t xml:space="preserve">high dose </w:t>
      </w:r>
      <w:r w:rsidR="008842E5" w:rsidRPr="008F7B39">
        <w:rPr>
          <w:b/>
          <w:bCs/>
          <w:i/>
          <w:iCs/>
          <w:u w:val="single"/>
        </w:rPr>
        <w:t xml:space="preserve">oral </w:t>
      </w:r>
      <w:r w:rsidR="008842E5" w:rsidRPr="008F7B39">
        <w:rPr>
          <w:b/>
          <w:bCs/>
          <w:i/>
          <w:iCs/>
          <w:u w:val="single"/>
        </w:rPr>
        <w:lastRenderedPageBreak/>
        <w:t>c</w:t>
      </w:r>
      <w:r w:rsidR="0059665D" w:rsidRPr="008F7B39">
        <w:rPr>
          <w:b/>
          <w:bCs/>
          <w:i/>
          <w:iCs/>
          <w:u w:val="single"/>
        </w:rPr>
        <w:t>yanocobalamin</w:t>
      </w:r>
      <w:r w:rsidR="008F7B39" w:rsidRPr="008F7B39">
        <w:rPr>
          <w:b/>
          <w:bCs/>
          <w:i/>
          <w:iCs/>
          <w:u w:val="single"/>
        </w:rPr>
        <w:t xml:space="preserve"> 1mg</w:t>
      </w:r>
      <w:r w:rsidR="008F7B39">
        <w:rPr>
          <w:i/>
          <w:iCs/>
        </w:rPr>
        <w:t xml:space="preserve"> (1000mcg) (Dose 1 – 2 mg daily).</w:t>
      </w:r>
      <w:r w:rsidR="00D73199">
        <w:rPr>
          <w:i/>
          <w:iCs/>
        </w:rPr>
        <w:t xml:space="preserve"> Avoid prescribing special order/ imported products. Prescribe 28 days’ supply and add to patients repeat.</w:t>
      </w:r>
      <w:r w:rsidR="007B07C8">
        <w:rPr>
          <w:i/>
          <w:iCs/>
        </w:rPr>
        <w:t xml:space="preserve"> </w:t>
      </w:r>
      <w:r w:rsidR="00D73199">
        <w:rPr>
          <w:i/>
          <w:iCs/>
        </w:rPr>
        <w:t>Set a review date for 3 to 6 months.</w:t>
      </w:r>
    </w:p>
    <w:p w14:paraId="1B0F471D" w14:textId="137843DB" w:rsidR="008842E5" w:rsidRDefault="007B07C8" w:rsidP="00A2429D">
      <w:pPr>
        <w:pStyle w:val="ListParagraph"/>
        <w:numPr>
          <w:ilvl w:val="0"/>
          <w:numId w:val="1"/>
        </w:numPr>
        <w:rPr>
          <w:i/>
          <w:iCs/>
        </w:rPr>
      </w:pPr>
      <w:r w:rsidRPr="007B07C8">
        <w:rPr>
          <w:i/>
          <w:iCs/>
        </w:rPr>
        <w:t xml:space="preserve">For patients </w:t>
      </w:r>
      <w:r>
        <w:rPr>
          <w:i/>
          <w:iCs/>
        </w:rPr>
        <w:t xml:space="preserve">where the </w:t>
      </w:r>
      <w:r w:rsidRPr="007B07C8">
        <w:rPr>
          <w:b/>
          <w:bCs/>
          <w:i/>
          <w:iCs/>
          <w:u w:val="single"/>
        </w:rPr>
        <w:t>oral dose is not suitable</w:t>
      </w:r>
      <w:r>
        <w:rPr>
          <w:i/>
          <w:iCs/>
        </w:rPr>
        <w:t xml:space="preserve"> (i.e. total</w:t>
      </w:r>
      <w:r w:rsidRPr="007B07C8">
        <w:rPr>
          <w:i/>
          <w:iCs/>
        </w:rPr>
        <w:t xml:space="preserve"> </w:t>
      </w:r>
      <w:r w:rsidR="00AC4AAD">
        <w:rPr>
          <w:i/>
          <w:iCs/>
        </w:rPr>
        <w:t>g</w:t>
      </w:r>
      <w:r w:rsidRPr="007B07C8">
        <w:rPr>
          <w:i/>
          <w:iCs/>
        </w:rPr>
        <w:t>astrectomy, serious malabsorption</w:t>
      </w:r>
      <w:r>
        <w:rPr>
          <w:i/>
          <w:iCs/>
        </w:rPr>
        <w:t xml:space="preserve"> &amp;</w:t>
      </w:r>
      <w:r w:rsidRPr="007B07C8">
        <w:rPr>
          <w:i/>
          <w:iCs/>
        </w:rPr>
        <w:t xml:space="preserve"> lack of production of gastric intrinsic factor then </w:t>
      </w:r>
      <w:r>
        <w:rPr>
          <w:i/>
          <w:iCs/>
        </w:rPr>
        <w:t xml:space="preserve">consider following </w:t>
      </w:r>
      <w:r w:rsidRPr="007B07C8">
        <w:rPr>
          <w:b/>
          <w:bCs/>
          <w:i/>
          <w:iCs/>
          <w:u w:val="single"/>
        </w:rPr>
        <w:t>EITHER a) RCGP advice to educate patients to self-administer B12 injections</w:t>
      </w:r>
      <w:r>
        <w:rPr>
          <w:i/>
          <w:iCs/>
        </w:rPr>
        <w:t xml:space="preserve">, but carefully consider </w:t>
      </w:r>
      <w:r w:rsidR="00AC4AAD">
        <w:rPr>
          <w:i/>
          <w:iCs/>
        </w:rPr>
        <w:t>how easier this is in practice</w:t>
      </w:r>
      <w:r w:rsidR="003A2569">
        <w:rPr>
          <w:i/>
          <w:iCs/>
        </w:rPr>
        <w:t xml:space="preserve"> under the present conditions</w:t>
      </w:r>
      <w:r w:rsidR="00AC4AAD">
        <w:rPr>
          <w:i/>
          <w:iCs/>
        </w:rPr>
        <w:t xml:space="preserve"> (patient contact</w:t>
      </w:r>
      <w:r w:rsidR="003A2569">
        <w:rPr>
          <w:i/>
          <w:iCs/>
        </w:rPr>
        <w:t xml:space="preserve"> time</w:t>
      </w:r>
      <w:r w:rsidR="00AC4AAD">
        <w:rPr>
          <w:i/>
          <w:iCs/>
        </w:rPr>
        <w:t xml:space="preserve"> </w:t>
      </w:r>
      <w:r>
        <w:rPr>
          <w:i/>
          <w:iCs/>
        </w:rPr>
        <w:t xml:space="preserve">required to do </w:t>
      </w:r>
      <w:r w:rsidR="003A2569">
        <w:rPr>
          <w:i/>
          <w:iCs/>
        </w:rPr>
        <w:t>provide education</w:t>
      </w:r>
      <w:r w:rsidR="00AC4AAD">
        <w:rPr>
          <w:i/>
          <w:iCs/>
        </w:rPr>
        <w:t>, supplies of sharp-boxes and needles etc.</w:t>
      </w:r>
      <w:r>
        <w:rPr>
          <w:i/>
          <w:iCs/>
        </w:rPr>
        <w:t xml:space="preserve"> or </w:t>
      </w:r>
      <w:r w:rsidRPr="007B07C8">
        <w:rPr>
          <w:b/>
          <w:bCs/>
          <w:i/>
          <w:iCs/>
          <w:u w:val="single"/>
        </w:rPr>
        <w:t>b)</w:t>
      </w:r>
      <w:r w:rsidR="001A41E0">
        <w:rPr>
          <w:b/>
          <w:bCs/>
          <w:i/>
          <w:iCs/>
          <w:u w:val="single"/>
        </w:rPr>
        <w:t xml:space="preserve"> </w:t>
      </w:r>
      <w:r w:rsidRPr="007B07C8">
        <w:rPr>
          <w:b/>
          <w:bCs/>
          <w:i/>
          <w:iCs/>
          <w:u w:val="single"/>
        </w:rPr>
        <w:t>continue to administer IM injections in the practice</w:t>
      </w:r>
      <w:r>
        <w:rPr>
          <w:i/>
          <w:iCs/>
        </w:rPr>
        <w:t xml:space="preserve"> (these patients have no other options</w:t>
      </w:r>
      <w:r w:rsidR="008519C1">
        <w:rPr>
          <w:i/>
          <w:iCs/>
        </w:rPr>
        <w:t xml:space="preserve"> and would be fewer in number vs. current cohort, therefore potentially manageable</w:t>
      </w:r>
      <w:r>
        <w:rPr>
          <w:i/>
          <w:iCs/>
        </w:rPr>
        <w:t>)</w:t>
      </w:r>
      <w:r w:rsidR="00D73199">
        <w:rPr>
          <w:i/>
          <w:iCs/>
        </w:rPr>
        <w:t>.</w:t>
      </w:r>
    </w:p>
    <w:p w14:paraId="0C122D49" w14:textId="7043D6EB" w:rsidR="00CA0BF6" w:rsidRPr="00CA0BF6" w:rsidRDefault="00CA0BF6" w:rsidP="00CA0BF6">
      <w:pPr>
        <w:rPr>
          <w:i/>
          <w:iCs/>
        </w:rPr>
      </w:pPr>
      <w:r>
        <w:rPr>
          <w:i/>
          <w:iCs/>
        </w:rPr>
        <w:t>--------------------------------------------------------------------------------------------------------------------------------------</w:t>
      </w:r>
    </w:p>
    <w:p w14:paraId="7A77CFA3" w14:textId="6F992D88" w:rsidR="00D73199" w:rsidRDefault="003A2569" w:rsidP="00D73199">
      <w:pPr>
        <w:rPr>
          <w:i/>
          <w:iCs/>
        </w:rPr>
      </w:pPr>
      <w:r>
        <w:rPr>
          <w:i/>
          <w:iCs/>
        </w:rPr>
        <w:t xml:space="preserve">Practices should be aware the Pernicious Anaemia Society (patient group) has issued its own independent advice on dealing with vitamin B12 during COVID-19. These can be accessed here </w:t>
      </w:r>
      <w:hyperlink r:id="rId10" w:history="1">
        <w:r w:rsidRPr="003A2569">
          <w:rPr>
            <w:rStyle w:val="Hyperlink"/>
            <w:i/>
            <w:iCs/>
          </w:rPr>
          <w:t>https://pernicious-anaemia-society.org/articles/b12-injections-stopped-in-parts-of-uk-due-to-covid-19-virus/</w:t>
        </w:r>
      </w:hyperlink>
    </w:p>
    <w:p w14:paraId="09B9D239" w14:textId="7032E647" w:rsidR="003A2569" w:rsidRDefault="00CF1747" w:rsidP="00D73199">
      <w:pPr>
        <w:pBdr>
          <w:bottom w:val="single" w:sz="6" w:space="1" w:color="auto"/>
        </w:pBdr>
        <w:rPr>
          <w:i/>
          <w:iCs/>
        </w:rPr>
      </w:pPr>
      <w:r>
        <w:rPr>
          <w:i/>
          <w:iCs/>
        </w:rPr>
        <w:t>The Dorset CCG does not currently</w:t>
      </w:r>
      <w:r w:rsidR="00CA0BF6">
        <w:rPr>
          <w:i/>
          <w:iCs/>
        </w:rPr>
        <w:t xml:space="preserve"> endorse</w:t>
      </w:r>
      <w:r>
        <w:rPr>
          <w:i/>
          <w:iCs/>
        </w:rPr>
        <w:t xml:space="preserve"> agree with these recommendations.</w:t>
      </w:r>
    </w:p>
    <w:p w14:paraId="6BB9190B" w14:textId="77777777" w:rsidR="005B76C9" w:rsidRDefault="005B76C9" w:rsidP="00D73199">
      <w:pPr>
        <w:pBdr>
          <w:bottom w:val="single" w:sz="6" w:space="1" w:color="auto"/>
        </w:pBdr>
        <w:rPr>
          <w:i/>
          <w:iCs/>
        </w:rPr>
      </w:pPr>
    </w:p>
    <w:p w14:paraId="743A1F56" w14:textId="74D116C8" w:rsidR="005B76C9" w:rsidRDefault="005B76C9" w:rsidP="00D73199">
      <w:pPr>
        <w:rPr>
          <w:i/>
          <w:iCs/>
        </w:rPr>
      </w:pPr>
    </w:p>
    <w:p w14:paraId="1463F045" w14:textId="5905330C" w:rsidR="005B76C9" w:rsidRDefault="005B76C9" w:rsidP="00D73199">
      <w:pPr>
        <w:rPr>
          <w:i/>
          <w:iCs/>
        </w:rPr>
      </w:pPr>
    </w:p>
    <w:p w14:paraId="3784451A" w14:textId="685BC5F1" w:rsidR="005B76C9" w:rsidRDefault="005B76C9" w:rsidP="00D73199">
      <w:pPr>
        <w:rPr>
          <w:i/>
          <w:iCs/>
        </w:rPr>
      </w:pPr>
    </w:p>
    <w:p w14:paraId="7E993C97" w14:textId="77777777" w:rsidR="00DB6572" w:rsidRDefault="00DB6572" w:rsidP="00D73199">
      <w:pPr>
        <w:rPr>
          <w:i/>
          <w:iCs/>
        </w:rPr>
      </w:pPr>
    </w:p>
    <w:p w14:paraId="0D20C329" w14:textId="77777777" w:rsidR="00DB6572" w:rsidRDefault="00DB6572" w:rsidP="00D73199">
      <w:pPr>
        <w:rPr>
          <w:i/>
          <w:iCs/>
        </w:rPr>
      </w:pPr>
    </w:p>
    <w:p w14:paraId="3B4023D4" w14:textId="77777777" w:rsidR="00DB6572" w:rsidRDefault="00DB6572" w:rsidP="00D73199">
      <w:pPr>
        <w:rPr>
          <w:i/>
          <w:iCs/>
        </w:rPr>
      </w:pPr>
    </w:p>
    <w:p w14:paraId="13C1FE7D" w14:textId="77777777" w:rsidR="00DB6572" w:rsidRDefault="00DB6572" w:rsidP="00D73199">
      <w:pPr>
        <w:rPr>
          <w:i/>
          <w:iCs/>
        </w:rPr>
      </w:pPr>
    </w:p>
    <w:p w14:paraId="5C9667B7" w14:textId="77777777" w:rsidR="00DB6572" w:rsidRDefault="00DB6572" w:rsidP="00D73199">
      <w:pPr>
        <w:rPr>
          <w:i/>
          <w:iCs/>
        </w:rPr>
      </w:pPr>
    </w:p>
    <w:p w14:paraId="09CA36BF" w14:textId="77777777" w:rsidR="00DB6572" w:rsidRDefault="00DB6572" w:rsidP="00D73199">
      <w:pPr>
        <w:rPr>
          <w:i/>
          <w:iCs/>
        </w:rPr>
      </w:pPr>
    </w:p>
    <w:p w14:paraId="608EADFB" w14:textId="77777777" w:rsidR="00DB6572" w:rsidRDefault="00DB6572" w:rsidP="00D73199">
      <w:pPr>
        <w:rPr>
          <w:i/>
          <w:iCs/>
        </w:rPr>
      </w:pPr>
      <w:bookmarkStart w:id="0" w:name="_GoBack"/>
      <w:bookmarkEnd w:id="0"/>
    </w:p>
    <w:p w14:paraId="331F241A" w14:textId="77777777" w:rsidR="00DB6572" w:rsidRDefault="00DB6572" w:rsidP="00D73199">
      <w:pPr>
        <w:rPr>
          <w:i/>
          <w:iCs/>
        </w:rPr>
      </w:pPr>
    </w:p>
    <w:p w14:paraId="68D39198" w14:textId="77777777" w:rsidR="00DB6572" w:rsidRDefault="00DB6572" w:rsidP="00D73199">
      <w:pPr>
        <w:rPr>
          <w:i/>
          <w:iCs/>
        </w:rPr>
      </w:pPr>
    </w:p>
    <w:p w14:paraId="75A506D8" w14:textId="77777777" w:rsidR="00DB6572" w:rsidRDefault="00DB6572" w:rsidP="00D73199">
      <w:pPr>
        <w:rPr>
          <w:i/>
          <w:iCs/>
        </w:rPr>
      </w:pPr>
    </w:p>
    <w:p w14:paraId="23C5A40A" w14:textId="57047D4F" w:rsidR="005B76C9" w:rsidRDefault="00302524" w:rsidP="00D73199">
      <w:pPr>
        <w:rPr>
          <w:i/>
          <w:iCs/>
        </w:rPr>
      </w:pPr>
      <w:r>
        <w:rPr>
          <w:i/>
          <w:iCs/>
        </w:rPr>
        <w:t>*</w:t>
      </w:r>
      <w:r w:rsidR="005B76C9">
        <w:rPr>
          <w:i/>
          <w:iCs/>
        </w:rPr>
        <w:t>* Disclaimer *</w:t>
      </w:r>
      <w:r>
        <w:rPr>
          <w:i/>
          <w:iCs/>
        </w:rPr>
        <w:t>*</w:t>
      </w:r>
    </w:p>
    <w:p w14:paraId="12963449" w14:textId="34A3B6A5" w:rsidR="005B76C9" w:rsidRPr="00D73199" w:rsidRDefault="00302524" w:rsidP="00D73199">
      <w:pPr>
        <w:rPr>
          <w:i/>
          <w:iCs/>
        </w:rPr>
      </w:pPr>
      <w:r>
        <w:rPr>
          <w:i/>
          <w:iCs/>
        </w:rPr>
        <w:t xml:space="preserve">This is rapid interim guidance developed to respond to prescribing and medicines management issues emerging during the COVID-19 pandemic. Best efforts have been made to consult with the relevant specialities before guidance is published. In the current climate guidance is subject rapid change, often </w:t>
      </w:r>
      <w:proofErr w:type="gramStart"/>
      <w:r>
        <w:rPr>
          <w:i/>
          <w:iCs/>
        </w:rPr>
        <w:t>on a daily basis</w:t>
      </w:r>
      <w:proofErr w:type="gramEnd"/>
      <w:r>
        <w:rPr>
          <w:i/>
          <w:iCs/>
        </w:rPr>
        <w:t xml:space="preserve">. Please consider this when utilising this guidance. We ask practices only to adopt guidance </w:t>
      </w:r>
      <w:r w:rsidR="00DB6572">
        <w:rPr>
          <w:i/>
          <w:iCs/>
        </w:rPr>
        <w:t>National Guidance from NHS England &amp; Improvement or from Dorset CCG.</w:t>
      </w:r>
    </w:p>
    <w:sectPr w:rsidR="005B76C9" w:rsidRPr="00D7319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55AF8" w14:textId="77777777" w:rsidR="008519C1" w:rsidRDefault="008519C1" w:rsidP="008519C1">
      <w:pPr>
        <w:spacing w:after="0" w:line="240" w:lineRule="auto"/>
      </w:pPr>
      <w:r>
        <w:separator/>
      </w:r>
    </w:p>
  </w:endnote>
  <w:endnote w:type="continuationSeparator" w:id="0">
    <w:p w14:paraId="6DBAD29C" w14:textId="77777777" w:rsidR="008519C1" w:rsidRDefault="008519C1" w:rsidP="0085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71871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2670FD" w14:textId="7C42CE45" w:rsidR="00224CCA" w:rsidRDefault="00224CC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05F504" w14:textId="77777777" w:rsidR="008519C1" w:rsidRDefault="00851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7D464" w14:textId="77777777" w:rsidR="008519C1" w:rsidRDefault="008519C1" w:rsidP="008519C1">
      <w:pPr>
        <w:spacing w:after="0" w:line="240" w:lineRule="auto"/>
      </w:pPr>
      <w:r>
        <w:separator/>
      </w:r>
    </w:p>
  </w:footnote>
  <w:footnote w:type="continuationSeparator" w:id="0">
    <w:p w14:paraId="19761B0F" w14:textId="77777777" w:rsidR="008519C1" w:rsidRDefault="008519C1" w:rsidP="00851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50511" w14:textId="695C0A1B" w:rsidR="00224CCA" w:rsidRPr="00E52B21" w:rsidRDefault="00224CCA" w:rsidP="00224CCA">
    <w:pPr>
      <w:pStyle w:val="Header"/>
      <w:rPr>
        <w:b/>
        <w:bCs/>
      </w:rPr>
    </w:pPr>
    <w:r>
      <w:rPr>
        <w:b/>
        <w:bCs/>
      </w:rPr>
      <w:t xml:space="preserve">Medicines Optimisation Team - </w:t>
    </w:r>
    <w:r w:rsidRPr="00E52B21">
      <w:rPr>
        <w:b/>
        <w:bCs/>
      </w:rPr>
      <w:t xml:space="preserve">Interim </w:t>
    </w:r>
    <w:r w:rsidR="003A2569">
      <w:rPr>
        <w:b/>
        <w:bCs/>
      </w:rPr>
      <w:t xml:space="preserve">Medicines Management &amp; </w:t>
    </w:r>
    <w:r w:rsidRPr="00E52B21">
      <w:rPr>
        <w:b/>
        <w:bCs/>
      </w:rPr>
      <w:t xml:space="preserve">COVID guidance # </w:t>
    </w:r>
    <w:r>
      <w:rPr>
        <w:b/>
        <w:bCs/>
      </w:rPr>
      <w:t>2</w:t>
    </w:r>
    <w:r w:rsidRPr="00E52B21">
      <w:rPr>
        <w:b/>
        <w:bCs/>
      </w:rPr>
      <w:t xml:space="preserve"> – 2</w:t>
    </w:r>
    <w:r>
      <w:rPr>
        <w:b/>
        <w:bCs/>
      </w:rPr>
      <w:t>5</w:t>
    </w:r>
    <w:r w:rsidRPr="00E52B21">
      <w:rPr>
        <w:b/>
        <w:bCs/>
      </w:rPr>
      <w:t>.03.2020</w:t>
    </w:r>
  </w:p>
  <w:p w14:paraId="262EC503" w14:textId="77777777" w:rsidR="00AC4AAD" w:rsidRDefault="00AC4A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557E8"/>
    <w:multiLevelType w:val="hybridMultilevel"/>
    <w:tmpl w:val="690A2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9D"/>
    <w:rsid w:val="000B0EE4"/>
    <w:rsid w:val="001A41E0"/>
    <w:rsid w:val="00221394"/>
    <w:rsid w:val="00224CCA"/>
    <w:rsid w:val="00302524"/>
    <w:rsid w:val="003A2569"/>
    <w:rsid w:val="00543BFC"/>
    <w:rsid w:val="0059665D"/>
    <w:rsid w:val="005B76C9"/>
    <w:rsid w:val="00715D28"/>
    <w:rsid w:val="007B07C8"/>
    <w:rsid w:val="007B48BB"/>
    <w:rsid w:val="008519C1"/>
    <w:rsid w:val="008842E5"/>
    <w:rsid w:val="008D7EAC"/>
    <w:rsid w:val="008F7B39"/>
    <w:rsid w:val="00A2429D"/>
    <w:rsid w:val="00AC4AAD"/>
    <w:rsid w:val="00AD416F"/>
    <w:rsid w:val="00CA0BF6"/>
    <w:rsid w:val="00CF1747"/>
    <w:rsid w:val="00D73199"/>
    <w:rsid w:val="00DB6572"/>
    <w:rsid w:val="00F574B5"/>
    <w:rsid w:val="00F9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E722D"/>
  <w15:chartTrackingRefBased/>
  <w15:docId w15:val="{87EC4190-E791-4424-BA07-BB6B3C42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2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42E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1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9C1"/>
  </w:style>
  <w:style w:type="paragraph" w:styleId="Footer">
    <w:name w:val="footer"/>
    <w:basedOn w:val="Normal"/>
    <w:link w:val="FooterChar"/>
    <w:uiPriority w:val="99"/>
    <w:unhideWhenUsed/>
    <w:rsid w:val="00851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9C1"/>
  </w:style>
  <w:style w:type="character" w:styleId="CommentReference">
    <w:name w:val="annotation reference"/>
    <w:basedOn w:val="DefaultParagraphFont"/>
    <w:uiPriority w:val="99"/>
    <w:semiHidden/>
    <w:unhideWhenUsed/>
    <w:rsid w:val="00543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B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B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B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rsetccg.nhs.uk/Downloads/aboutus/medicines-management/Other%20Guidelines/Vit%20b12%20guidelines%20v1.3%20post%20DMAG%20jan%2020.pdf?UNLID=8799017362020316124658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ernicious-anaemia-society.org/articles/b12-injections-stopped-in-parts-of-uk-due-to-covid-19-vir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dorsetformulary.nhs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Dorset Clinical Commisioning Group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Fleck, Steve (Dorset CCG)</dc:creator>
  <cp:keywords/>
  <dc:description/>
  <cp:lastModifiedBy>Fleck, Steve (Dorset CCG)</cp:lastModifiedBy>
  <cp:revision>5</cp:revision>
  <dcterms:created xsi:type="dcterms:W3CDTF">2020-03-25T10:21:00Z</dcterms:created>
  <dcterms:modified xsi:type="dcterms:W3CDTF">2020-03-25T11:20:00Z</dcterms:modified>
</cp:coreProperties>
</file>